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left"/>
      </w:pPr>
      <w:r>
        <w:t>Planning academiejaar 2026–2027</w:t>
      </w:r>
    </w:p>
    <w:p>
      <w:pPr>
        <w:spacing w:after="200"/>
      </w:pPr>
      <w:r>
        <w:t xml:space="preserve">De lessen vinden plaats van </w:t>
      </w:r>
      <w:r>
        <w:rPr>
          <w:b/>
        </w:rPr>
        <w:t>9.00 tot 12.30 uur en van 13.30 tot 16.30 uur</w:t>
      </w:r>
      <w:r>
        <w:t>. Hieronder vind je per opleidingsonderdeel de geplande lesdagen en examenperiode.</w:t>
      </w:r>
    </w:p>
    <w:p>
      <w:pPr>
        <w:pStyle w:val="Heading2"/>
        <w:spacing w:before="160" w:after="100"/>
      </w:pPr>
      <w:r>
        <w:t>Vermogensplanning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c>
          <w:tcPr>
            <w:tcW w:type="dxa" w:w="4248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  <w:shd w:fill="264653"/>
          </w:tcPr>
          <w:p>
            <w:pPr>
              <w:jc w:val="left"/>
            </w:pPr>
            <w:r>
              <w:rPr>
                <w:b/>
                <w:color w:val="FFFFFF"/>
                <w:sz w:val="19"/>
              </w:rPr>
              <w:t>Opleidingsonderdeel</w:t>
            </w:r>
          </w:p>
        </w:tc>
        <w:tc>
          <w:tcPr>
            <w:tcW w:type="dxa" w:w="1224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  <w:shd w:fill="264653"/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Lesdag</w:t>
            </w:r>
          </w:p>
        </w:tc>
        <w:tc>
          <w:tcPr>
            <w:tcW w:type="dxa" w:w="4176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  <w:shd w:fill="264653"/>
          </w:tcPr>
          <w:p>
            <w:pPr>
              <w:jc w:val="left"/>
            </w:pPr>
            <w:r>
              <w:rPr>
                <w:b/>
                <w:color w:val="FFFFFF"/>
                <w:sz w:val="19"/>
              </w:rPr>
              <w:t>Lesmomenten</w:t>
            </w:r>
          </w:p>
        </w:tc>
        <w:tc>
          <w:tcPr>
            <w:tcW w:type="dxa" w:w="1440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  <w:shd w:fill="264653"/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Examenperiode</w:t>
            </w:r>
          </w:p>
        </w:tc>
      </w:tr>
      <w:tr>
        <w:tc>
          <w:tcPr>
            <w:tcW w:type="dxa" w:w="4248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b/>
                <w:sz w:val="18"/>
              </w:rPr>
              <w:t>Beginselen vermogensplanning</w:t>
            </w:r>
          </w:p>
        </w:tc>
        <w:tc>
          <w:tcPr>
            <w:tcW w:type="dxa" w:w="1224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sz w:val="18"/>
              </w:rPr>
              <w:t>maandag</w:t>
            </w:r>
          </w:p>
        </w:tc>
        <w:tc>
          <w:tcPr>
            <w:tcW w:type="dxa" w:w="4176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sz w:val="18"/>
              </w:rPr>
              <w:t>21 en 28 september • 5, 12, 19 en 26 oktober 2026</w:t>
            </w:r>
          </w:p>
        </w:tc>
        <w:tc>
          <w:tcPr>
            <w:tcW w:type="dxa" w:w="1440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sz w:val="18"/>
              </w:rPr>
              <w:t>januari 2027</w:t>
            </w:r>
          </w:p>
        </w:tc>
      </w:tr>
      <w:tr>
        <w:tc>
          <w:tcPr>
            <w:tcW w:type="dxa" w:w="4248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  <w:shd w:fill="F3F6F6"/>
          </w:tcPr>
          <w:p>
            <w:pPr>
              <w:jc w:val="left"/>
            </w:pPr>
            <w:r>
              <w:rPr>
                <w:b/>
                <w:sz w:val="18"/>
              </w:rPr>
              <w:t>Vermogensplanning via pensioen-, verzekerings- en beleggingsproducten</w:t>
            </w:r>
          </w:p>
        </w:tc>
        <w:tc>
          <w:tcPr>
            <w:tcW w:type="dxa" w:w="1224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  <w:shd w:fill="F3F6F6"/>
          </w:tcPr>
          <w:p>
            <w:pPr>
              <w:jc w:val="center"/>
            </w:pPr>
            <w:r>
              <w:rPr>
                <w:sz w:val="18"/>
              </w:rPr>
              <w:t>maandag</w:t>
            </w:r>
          </w:p>
        </w:tc>
        <w:tc>
          <w:tcPr>
            <w:tcW w:type="dxa" w:w="4176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  <w:shd w:fill="F3F6F6"/>
          </w:tcPr>
          <w:p>
            <w:pPr>
              <w:jc w:val="left"/>
            </w:pPr>
            <w:r>
              <w:rPr>
                <w:sz w:val="18"/>
              </w:rPr>
              <w:t>9, 16, 23 en 30 november • 7 en 14 december 2026</w:t>
            </w:r>
          </w:p>
        </w:tc>
        <w:tc>
          <w:tcPr>
            <w:tcW w:type="dxa" w:w="1440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  <w:shd w:fill="F3F6F6"/>
          </w:tcPr>
          <w:p>
            <w:pPr>
              <w:jc w:val="center"/>
            </w:pPr>
            <w:r>
              <w:rPr>
                <w:sz w:val="18"/>
              </w:rPr>
              <w:t>januari 2027</w:t>
            </w:r>
          </w:p>
        </w:tc>
      </w:tr>
      <w:tr>
        <w:tc>
          <w:tcPr>
            <w:tcW w:type="dxa" w:w="4248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b/>
                <w:sz w:val="18"/>
              </w:rPr>
              <w:t>Vermogensplanning via huwelijk, schenkingen, testamenten en bijzondere constructies</w:t>
            </w:r>
          </w:p>
        </w:tc>
        <w:tc>
          <w:tcPr>
            <w:tcW w:type="dxa" w:w="1224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sz w:val="18"/>
              </w:rPr>
              <w:t>maandag</w:t>
            </w:r>
          </w:p>
        </w:tc>
        <w:tc>
          <w:tcPr>
            <w:tcW w:type="dxa" w:w="4176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sz w:val="18"/>
              </w:rPr>
              <w:t>15 en 22 februari • 1, 8, 15 en 22 maart 2027</w:t>
            </w:r>
          </w:p>
        </w:tc>
        <w:tc>
          <w:tcPr>
            <w:tcW w:type="dxa" w:w="1440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sz w:val="18"/>
              </w:rPr>
              <w:t>juni 2027</w:t>
            </w:r>
          </w:p>
        </w:tc>
      </w:tr>
      <w:tr>
        <w:tc>
          <w:tcPr>
            <w:tcW w:type="dxa" w:w="4248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  <w:shd w:fill="F3F6F6"/>
          </w:tcPr>
          <w:p>
            <w:pPr>
              <w:jc w:val="left"/>
            </w:pPr>
            <w:r>
              <w:rPr>
                <w:b/>
                <w:sz w:val="18"/>
              </w:rPr>
              <w:t>Vermogensplanning via vastgoed</w:t>
            </w:r>
          </w:p>
        </w:tc>
        <w:tc>
          <w:tcPr>
            <w:tcW w:type="dxa" w:w="1224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  <w:shd w:fill="F3F6F6"/>
          </w:tcPr>
          <w:p>
            <w:pPr>
              <w:jc w:val="center"/>
            </w:pPr>
            <w:r>
              <w:rPr>
                <w:sz w:val="18"/>
              </w:rPr>
              <w:t>maandag</w:t>
            </w:r>
          </w:p>
        </w:tc>
        <w:tc>
          <w:tcPr>
            <w:tcW w:type="dxa" w:w="4176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  <w:shd w:fill="F3F6F6"/>
          </w:tcPr>
          <w:p>
            <w:pPr>
              <w:jc w:val="left"/>
            </w:pPr>
            <w:r>
              <w:rPr>
                <w:sz w:val="18"/>
              </w:rPr>
              <w:t>12, 19 en 26 april • 3 en 10 mei 2027 + afstandsonderwijs</w:t>
            </w:r>
          </w:p>
        </w:tc>
        <w:tc>
          <w:tcPr>
            <w:tcW w:type="dxa" w:w="1440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  <w:shd w:fill="F3F6F6"/>
          </w:tcPr>
          <w:p>
            <w:pPr>
              <w:jc w:val="center"/>
            </w:pPr>
            <w:r>
              <w:rPr>
                <w:sz w:val="18"/>
              </w:rPr>
              <w:t>juni 2027</w:t>
            </w:r>
          </w:p>
        </w:tc>
      </w:tr>
    </w:tbl>
    <w:p>
      <w:pPr>
        <w:spacing w:after="20"/>
      </w:pPr>
    </w:p>
    <w:p>
      <w:pPr>
        <w:pStyle w:val="Heading2"/>
        <w:spacing w:before="160" w:after="100"/>
      </w:pPr>
      <w:r>
        <w:t>Ondernemingsrecht en fiscaliteit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c>
          <w:tcPr>
            <w:tcW w:type="dxa" w:w="4248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  <w:shd w:fill="264653"/>
          </w:tcPr>
          <w:p>
            <w:pPr>
              <w:jc w:val="left"/>
            </w:pPr>
            <w:r>
              <w:rPr>
                <w:b/>
                <w:color w:val="FFFFFF"/>
                <w:sz w:val="19"/>
              </w:rPr>
              <w:t>Opleidingsonderdeel</w:t>
            </w:r>
          </w:p>
        </w:tc>
        <w:tc>
          <w:tcPr>
            <w:tcW w:type="dxa" w:w="1224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  <w:shd w:fill="264653"/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Lesdag</w:t>
            </w:r>
          </w:p>
        </w:tc>
        <w:tc>
          <w:tcPr>
            <w:tcW w:type="dxa" w:w="4176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  <w:shd w:fill="264653"/>
          </w:tcPr>
          <w:p>
            <w:pPr>
              <w:jc w:val="left"/>
            </w:pPr>
            <w:r>
              <w:rPr>
                <w:b/>
                <w:color w:val="FFFFFF"/>
                <w:sz w:val="19"/>
              </w:rPr>
              <w:t>Lesmomenten</w:t>
            </w:r>
          </w:p>
        </w:tc>
        <w:tc>
          <w:tcPr>
            <w:tcW w:type="dxa" w:w="1440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  <w:shd w:fill="264653"/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Examenperiode</w:t>
            </w:r>
          </w:p>
        </w:tc>
      </w:tr>
      <w:tr>
        <w:tc>
          <w:tcPr>
            <w:tcW w:type="dxa" w:w="4248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b/>
                <w:sz w:val="18"/>
              </w:rPr>
              <w:t>Fiscale en juridische optimalisatie bij de opstart van een onderneming</w:t>
            </w:r>
          </w:p>
        </w:tc>
        <w:tc>
          <w:tcPr>
            <w:tcW w:type="dxa" w:w="1224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sz w:val="18"/>
              </w:rPr>
              <w:t>dinsdag</w:t>
            </w:r>
          </w:p>
        </w:tc>
        <w:tc>
          <w:tcPr>
            <w:tcW w:type="dxa" w:w="4176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sz w:val="18"/>
              </w:rPr>
              <w:t>22 en 29 september • 6, 13, 20 en 27 oktober 2026</w:t>
            </w:r>
          </w:p>
        </w:tc>
        <w:tc>
          <w:tcPr>
            <w:tcW w:type="dxa" w:w="1440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sz w:val="18"/>
              </w:rPr>
              <w:t>januari 2027</w:t>
            </w:r>
          </w:p>
        </w:tc>
      </w:tr>
      <w:tr>
        <w:tc>
          <w:tcPr>
            <w:tcW w:type="dxa" w:w="4248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  <w:shd w:fill="F3F6F6"/>
          </w:tcPr>
          <w:p>
            <w:pPr>
              <w:jc w:val="left"/>
            </w:pPr>
            <w:r>
              <w:rPr>
                <w:b/>
                <w:sz w:val="18"/>
              </w:rPr>
              <w:t>Fiscale en juridische aspecten van internationaal ondernemen</w:t>
            </w:r>
          </w:p>
        </w:tc>
        <w:tc>
          <w:tcPr>
            <w:tcW w:type="dxa" w:w="1224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  <w:shd w:fill="F3F6F6"/>
          </w:tcPr>
          <w:p>
            <w:pPr>
              <w:jc w:val="center"/>
            </w:pPr>
            <w:r>
              <w:rPr>
                <w:sz w:val="18"/>
              </w:rPr>
              <w:t>dinsdag</w:t>
            </w:r>
          </w:p>
        </w:tc>
        <w:tc>
          <w:tcPr>
            <w:tcW w:type="dxa" w:w="4176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  <w:shd w:fill="F3F6F6"/>
          </w:tcPr>
          <w:p>
            <w:pPr>
              <w:jc w:val="left"/>
            </w:pPr>
            <w:r>
              <w:rPr>
                <w:sz w:val="18"/>
              </w:rPr>
              <w:t>3, 10, 17 en 24 november • 1 en 8 december 2026</w:t>
            </w:r>
          </w:p>
        </w:tc>
        <w:tc>
          <w:tcPr>
            <w:tcW w:type="dxa" w:w="1440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  <w:shd w:fill="F3F6F6"/>
          </w:tcPr>
          <w:p>
            <w:pPr>
              <w:jc w:val="center"/>
            </w:pPr>
            <w:r>
              <w:rPr>
                <w:sz w:val="18"/>
              </w:rPr>
              <w:t>januari 2027</w:t>
            </w:r>
          </w:p>
        </w:tc>
      </w:tr>
      <w:tr>
        <w:tc>
          <w:tcPr>
            <w:tcW w:type="dxa" w:w="4248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b/>
                <w:sz w:val="18"/>
              </w:rPr>
              <w:t>Fiscale en juridische aspecten bij omvorming/stopzetting van een onderneming</w:t>
            </w:r>
          </w:p>
        </w:tc>
        <w:tc>
          <w:tcPr>
            <w:tcW w:type="dxa" w:w="1224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sz w:val="18"/>
              </w:rPr>
              <w:t>dinsdag</w:t>
            </w:r>
          </w:p>
        </w:tc>
        <w:tc>
          <w:tcPr>
            <w:tcW w:type="dxa" w:w="4176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sz w:val="18"/>
              </w:rPr>
              <w:t>9, 16 en 23 februari • 2, 9 en 16 maart 2027</w:t>
            </w:r>
          </w:p>
        </w:tc>
        <w:tc>
          <w:tcPr>
            <w:tcW w:type="dxa" w:w="1440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sz w:val="18"/>
              </w:rPr>
              <w:t>juni 2027</w:t>
            </w:r>
          </w:p>
        </w:tc>
      </w:tr>
      <w:tr>
        <w:tc>
          <w:tcPr>
            <w:tcW w:type="dxa" w:w="4248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  <w:shd w:fill="F3F6F6"/>
          </w:tcPr>
          <w:p>
            <w:pPr>
              <w:jc w:val="left"/>
            </w:pPr>
            <w:r>
              <w:rPr>
                <w:b/>
                <w:sz w:val="18"/>
              </w:rPr>
              <w:t>Fiscale en strategische aspecten van kapitaalvorming</w:t>
            </w:r>
          </w:p>
        </w:tc>
        <w:tc>
          <w:tcPr>
            <w:tcW w:type="dxa" w:w="1224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  <w:shd w:fill="F3F6F6"/>
          </w:tcPr>
          <w:p>
            <w:pPr>
              <w:jc w:val="center"/>
            </w:pPr>
            <w:r>
              <w:rPr>
                <w:sz w:val="18"/>
              </w:rPr>
              <w:t>donderdag</w:t>
            </w:r>
          </w:p>
        </w:tc>
        <w:tc>
          <w:tcPr>
            <w:tcW w:type="dxa" w:w="4176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  <w:shd w:fill="F3F6F6"/>
          </w:tcPr>
          <w:p>
            <w:pPr>
              <w:jc w:val="left"/>
            </w:pPr>
            <w:r>
              <w:rPr>
                <w:sz w:val="18"/>
              </w:rPr>
              <w:t>24 september • 1, 8, 15, 22 en 29 oktober 2026</w:t>
            </w:r>
          </w:p>
        </w:tc>
        <w:tc>
          <w:tcPr>
            <w:tcW w:type="dxa" w:w="1440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  <w:shd w:fill="F3F6F6"/>
          </w:tcPr>
          <w:p>
            <w:pPr>
              <w:jc w:val="center"/>
            </w:pPr>
            <w:r>
              <w:rPr>
                <w:sz w:val="18"/>
              </w:rPr>
              <w:t>januari 2027</w:t>
            </w:r>
          </w:p>
        </w:tc>
      </w:tr>
      <w:tr>
        <w:tc>
          <w:tcPr>
            <w:tcW w:type="dxa" w:w="4248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b/>
                <w:sz w:val="18"/>
              </w:rPr>
              <w:t>Fiscale optimalisatie van bezoldiging en verloning</w:t>
            </w:r>
          </w:p>
        </w:tc>
        <w:tc>
          <w:tcPr>
            <w:tcW w:type="dxa" w:w="1224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sz w:val="18"/>
              </w:rPr>
              <w:t>donderdag</w:t>
            </w:r>
          </w:p>
        </w:tc>
        <w:tc>
          <w:tcPr>
            <w:tcW w:type="dxa" w:w="4176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sz w:val="18"/>
              </w:rPr>
              <w:t>5, 12, 19 en 26 november • 3 en 10 december 2026</w:t>
            </w:r>
          </w:p>
        </w:tc>
        <w:tc>
          <w:tcPr>
            <w:tcW w:type="dxa" w:w="1440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sz w:val="18"/>
              </w:rPr>
              <w:t>januari 2027</w:t>
            </w:r>
          </w:p>
        </w:tc>
      </w:tr>
    </w:tbl>
    <w:p>
      <w:pPr>
        <w:spacing w:after="20"/>
      </w:pPr>
    </w:p>
    <w:p>
      <w:pPr>
        <w:pStyle w:val="Heading2"/>
        <w:spacing w:before="160" w:after="100"/>
      </w:pPr>
      <w:r>
        <w:t>Fiscaal advies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c>
          <w:tcPr>
            <w:tcW w:type="dxa" w:w="4248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  <w:shd w:fill="264653"/>
          </w:tcPr>
          <w:p>
            <w:pPr>
              <w:jc w:val="left"/>
            </w:pPr>
            <w:r>
              <w:rPr>
                <w:b/>
                <w:color w:val="FFFFFF"/>
                <w:sz w:val="19"/>
              </w:rPr>
              <w:t>Opleidingsonderdeel</w:t>
            </w:r>
          </w:p>
        </w:tc>
        <w:tc>
          <w:tcPr>
            <w:tcW w:type="dxa" w:w="1224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  <w:shd w:fill="264653"/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Lesdag</w:t>
            </w:r>
          </w:p>
        </w:tc>
        <w:tc>
          <w:tcPr>
            <w:tcW w:type="dxa" w:w="4176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  <w:shd w:fill="264653"/>
          </w:tcPr>
          <w:p>
            <w:pPr>
              <w:jc w:val="left"/>
            </w:pPr>
            <w:r>
              <w:rPr>
                <w:b/>
                <w:color w:val="FFFFFF"/>
                <w:sz w:val="19"/>
              </w:rPr>
              <w:t>Lesmomenten</w:t>
            </w:r>
          </w:p>
        </w:tc>
        <w:tc>
          <w:tcPr>
            <w:tcW w:type="dxa" w:w="1440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  <w:shd w:fill="264653"/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Examenperiode</w:t>
            </w:r>
          </w:p>
        </w:tc>
      </w:tr>
      <w:tr>
        <w:tc>
          <w:tcPr>
            <w:tcW w:type="dxa" w:w="4248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b/>
                <w:sz w:val="18"/>
              </w:rPr>
              <w:t>Fiscale procedure</w:t>
            </w:r>
          </w:p>
        </w:tc>
        <w:tc>
          <w:tcPr>
            <w:tcW w:type="dxa" w:w="1224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sz w:val="18"/>
              </w:rPr>
              <w:t>dinsdag</w:t>
            </w:r>
          </w:p>
        </w:tc>
        <w:tc>
          <w:tcPr>
            <w:tcW w:type="dxa" w:w="4176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sz w:val="18"/>
              </w:rPr>
              <w:t>23 maart • 13, 20 en 27 april • 4 en 11 mei 2027</w:t>
            </w:r>
          </w:p>
        </w:tc>
        <w:tc>
          <w:tcPr>
            <w:tcW w:type="dxa" w:w="1440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sz w:val="18"/>
              </w:rPr>
              <w:t>juni 2027</w:t>
            </w:r>
          </w:p>
        </w:tc>
      </w:tr>
      <w:tr>
        <w:tc>
          <w:tcPr>
            <w:tcW w:type="dxa" w:w="4248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  <w:shd w:fill="F3F6F6"/>
          </w:tcPr>
          <w:p>
            <w:pPr>
              <w:jc w:val="left"/>
            </w:pPr>
            <w:r>
              <w:rPr>
                <w:b/>
                <w:sz w:val="18"/>
              </w:rPr>
              <w:t>Professioneel communiceren in de fiscale praktijk</w:t>
            </w:r>
          </w:p>
        </w:tc>
        <w:tc>
          <w:tcPr>
            <w:tcW w:type="dxa" w:w="1224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  <w:shd w:fill="F3F6F6"/>
          </w:tcPr>
          <w:p>
            <w:pPr>
              <w:jc w:val="center"/>
            </w:pPr>
            <w:r>
              <w:rPr>
                <w:sz w:val="18"/>
              </w:rPr>
              <w:t>donderdag</w:t>
            </w:r>
          </w:p>
        </w:tc>
        <w:tc>
          <w:tcPr>
            <w:tcW w:type="dxa" w:w="4176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  <w:shd w:fill="F3F6F6"/>
          </w:tcPr>
          <w:p>
            <w:pPr>
              <w:jc w:val="left"/>
            </w:pPr>
            <w:r>
              <w:rPr>
                <w:sz w:val="18"/>
              </w:rPr>
              <w:t>11, 18 en 25 februari • 4, 11, 18 en 25 maart • 15, 22 en 29 april • 13 en 20 mei 2027</w:t>
            </w:r>
          </w:p>
        </w:tc>
        <w:tc>
          <w:tcPr>
            <w:tcW w:type="dxa" w:w="1440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  <w:shd w:fill="F3F6F6"/>
          </w:tcPr>
          <w:p>
            <w:pPr>
              <w:jc w:val="center"/>
            </w:pPr>
            <w:r>
              <w:rPr>
                <w:sz w:val="18"/>
              </w:rPr>
              <w:t>juni 2027</w:t>
            </w:r>
          </w:p>
        </w:tc>
      </w:tr>
    </w:tbl>
    <w:p>
      <w:pPr>
        <w:spacing w:after="20"/>
      </w:pPr>
    </w:p>
    <w:p>
      <w:pPr>
        <w:spacing w:before="80"/>
      </w:pPr>
      <w:r>
        <w:rPr>
          <w:b/>
        </w:rPr>
        <w:t xml:space="preserve">Lesuren: </w:t>
      </w:r>
      <w:r>
        <w:t>9.00–12.30 uur en 13.30–16.30 uur.</w:t>
      </w:r>
    </w:p>
    <w:sectPr w:rsidR="00FC693F" w:rsidRPr="0006063C" w:rsidSect="00034616">
      <w:pgSz w:w="12240" w:h="15840"/>
      <w:pgMar w:top="936" w:right="936" w:bottom="936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" w:hAnsi="Apto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" w:hAnsi="Aptos"/>
      <w:b/>
      <w:bCs/>
      <w:color w:val="264653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264653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